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7348" w14:textId="5E21495E" w:rsidR="00B3290F" w:rsidRDefault="002B0F36" w:rsidP="00983992">
      <w:pPr>
        <w:ind w:right="-7"/>
        <w:rPr>
          <w:rFonts w:ascii="Arial" w:hAnsi="Arial" w:cs="Arial"/>
          <w:b/>
          <w:bCs/>
          <w:sz w:val="28"/>
          <w:szCs w:val="28"/>
        </w:rPr>
      </w:pPr>
      <w:bookmarkStart w:id="0" w:name="_Hlk114138412"/>
      <w:r>
        <w:rPr>
          <w:rFonts w:ascii="Arial" w:hAnsi="Arial" w:cs="Arial"/>
          <w:b/>
          <w:bCs/>
          <w:sz w:val="28"/>
          <w:szCs w:val="28"/>
        </w:rPr>
        <w:t>FILA</w:t>
      </w:r>
      <w:r w:rsidR="00991039">
        <w:rPr>
          <w:rFonts w:ascii="Arial" w:hAnsi="Arial" w:cs="Arial"/>
          <w:b/>
          <w:bCs/>
          <w:sz w:val="28"/>
          <w:szCs w:val="28"/>
        </w:rPr>
        <w:t xml:space="preserve"> Solutions</w:t>
      </w:r>
      <w:r>
        <w:rPr>
          <w:rFonts w:ascii="Arial" w:hAnsi="Arial" w:cs="Arial"/>
          <w:b/>
          <w:bCs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Wami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64BFF">
        <w:rPr>
          <w:rFonts w:ascii="Arial" w:hAnsi="Arial" w:cs="Arial"/>
          <w:b/>
          <w:bCs/>
          <w:sz w:val="28"/>
          <w:szCs w:val="28"/>
        </w:rPr>
        <w:t xml:space="preserve">per </w:t>
      </w:r>
      <w:proofErr w:type="gramStart"/>
      <w:r w:rsidR="00DA49F9">
        <w:rPr>
          <w:rFonts w:ascii="Arial" w:hAnsi="Arial" w:cs="Arial"/>
          <w:b/>
          <w:bCs/>
          <w:sz w:val="28"/>
          <w:szCs w:val="28"/>
        </w:rPr>
        <w:t>la water</w:t>
      </w:r>
      <w:proofErr w:type="gramEnd"/>
      <w:r w:rsidR="00DA49F9">
        <w:rPr>
          <w:rFonts w:ascii="Arial" w:hAnsi="Arial" w:cs="Arial"/>
          <w:b/>
          <w:bCs/>
          <w:sz w:val="28"/>
          <w:szCs w:val="28"/>
        </w:rPr>
        <w:t xml:space="preserve"> equality.</w:t>
      </w:r>
      <w:r w:rsidR="0010789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4F4850" w14:textId="210F5CC1" w:rsidR="00983992" w:rsidRDefault="00983992" w:rsidP="00983992">
      <w:pPr>
        <w:ind w:right="-7"/>
        <w:rPr>
          <w:rFonts w:ascii="Arial" w:eastAsia="Arial" w:hAnsi="Arial" w:cs="Arial"/>
          <w:b/>
          <w:bCs/>
          <w:sz w:val="21"/>
          <w:szCs w:val="21"/>
        </w:rPr>
      </w:pPr>
    </w:p>
    <w:p w14:paraId="65661447" w14:textId="77777777" w:rsidR="000D0B3A" w:rsidRDefault="000D0B3A" w:rsidP="00983992">
      <w:pPr>
        <w:ind w:right="-7"/>
        <w:rPr>
          <w:rFonts w:ascii="Arial" w:eastAsia="Arial" w:hAnsi="Arial" w:cs="Arial"/>
          <w:b/>
          <w:bCs/>
          <w:sz w:val="21"/>
          <w:szCs w:val="21"/>
        </w:rPr>
      </w:pPr>
    </w:p>
    <w:p w14:paraId="2A3AA8C8" w14:textId="27ED6C8D" w:rsidR="00A61A7E" w:rsidRDefault="00A61A7E" w:rsidP="00983992">
      <w:pPr>
        <w:ind w:right="-7"/>
        <w:rPr>
          <w:rFonts w:ascii="Arial" w:eastAsia="Arial" w:hAnsi="Arial" w:cs="Arial"/>
          <w:b/>
          <w:bCs/>
          <w:sz w:val="21"/>
          <w:szCs w:val="21"/>
        </w:rPr>
      </w:pPr>
    </w:p>
    <w:p w14:paraId="2C0A759B" w14:textId="77777777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 w:rsidRPr="00D80E91">
        <w:rPr>
          <w:rFonts w:ascii="Arial" w:hAnsi="Arial" w:cs="Arial"/>
          <w:b/>
          <w:bCs/>
          <w:sz w:val="21"/>
          <w:szCs w:val="21"/>
        </w:rPr>
        <w:t>FILA Solutions</w:t>
      </w:r>
      <w:r>
        <w:rPr>
          <w:rFonts w:ascii="Arial" w:hAnsi="Arial" w:cs="Arial"/>
          <w:sz w:val="21"/>
          <w:szCs w:val="21"/>
        </w:rPr>
        <w:t xml:space="preserve"> aderisce</w:t>
      </w:r>
      <w:r w:rsidRPr="00D64BFF">
        <w:rPr>
          <w:rFonts w:ascii="Arial" w:hAnsi="Arial" w:cs="Arial"/>
          <w:sz w:val="21"/>
          <w:szCs w:val="21"/>
        </w:rPr>
        <w:t xml:space="preserve"> al progetto di water equality di WAMI, B-corp che </w:t>
      </w:r>
      <w:r>
        <w:rPr>
          <w:rFonts w:ascii="Arial" w:hAnsi="Arial" w:cs="Arial"/>
          <w:sz w:val="21"/>
          <w:szCs w:val="21"/>
        </w:rPr>
        <w:t>ha come obbiettivo rendere</w:t>
      </w:r>
      <w:r w:rsidRPr="00D64BFF">
        <w:rPr>
          <w:rFonts w:ascii="Arial" w:hAnsi="Arial" w:cs="Arial"/>
          <w:sz w:val="21"/>
          <w:szCs w:val="21"/>
        </w:rPr>
        <w:t xml:space="preserve"> water </w:t>
      </w:r>
      <w:proofErr w:type="spellStart"/>
      <w:r w:rsidRPr="00D64BFF">
        <w:rPr>
          <w:rFonts w:ascii="Arial" w:hAnsi="Arial" w:cs="Arial"/>
          <w:sz w:val="21"/>
          <w:szCs w:val="21"/>
        </w:rPr>
        <w:t>equal</w:t>
      </w:r>
      <w:proofErr w:type="spellEnd"/>
      <w:r>
        <w:rPr>
          <w:rFonts w:ascii="Arial" w:hAnsi="Arial" w:cs="Arial"/>
          <w:sz w:val="21"/>
          <w:szCs w:val="21"/>
        </w:rPr>
        <w:t xml:space="preserve"> le aziende e le persone</w:t>
      </w:r>
      <w:r w:rsidRPr="00D64BFF">
        <w:rPr>
          <w:rFonts w:ascii="Arial" w:hAnsi="Arial" w:cs="Arial"/>
          <w:sz w:val="21"/>
          <w:szCs w:val="21"/>
        </w:rPr>
        <w:t>, portando l’equivalente dell’acqua che utilizzano a comunità che non hanno accesso a questa risorsa.</w:t>
      </w:r>
    </w:p>
    <w:p w14:paraId="1DF6AD73" w14:textId="77777777" w:rsidR="00DA49F9" w:rsidRPr="007E053F" w:rsidRDefault="00DA49F9" w:rsidP="00095FDD">
      <w:pPr>
        <w:spacing w:line="276" w:lineRule="auto"/>
        <w:ind w:right="-6"/>
        <w:jc w:val="both"/>
        <w:rPr>
          <w:rFonts w:ascii="Arial" w:hAnsi="Arial" w:cs="Arial"/>
          <w:sz w:val="10"/>
          <w:szCs w:val="10"/>
        </w:rPr>
      </w:pPr>
    </w:p>
    <w:p w14:paraId="7323AA2C" w14:textId="6893F6BB" w:rsidR="000D0B3A" w:rsidRPr="000D0B3A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Una partnership iniziata lo scorso settembre, in occasione degli appuntamenti fieristici </w:t>
      </w:r>
      <w:proofErr w:type="spellStart"/>
      <w:r>
        <w:rPr>
          <w:rFonts w:ascii="Arial" w:hAnsi="Arial" w:cs="Arial"/>
          <w:sz w:val="21"/>
          <w:szCs w:val="21"/>
        </w:rPr>
        <w:t>Cersaie</w:t>
      </w:r>
      <w:proofErr w:type="spellEnd"/>
      <w:r>
        <w:rPr>
          <w:rFonts w:ascii="Arial" w:hAnsi="Arial" w:cs="Arial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sz w:val="21"/>
          <w:szCs w:val="21"/>
        </w:rPr>
        <w:t>Marmomac</w:t>
      </w:r>
      <w:proofErr w:type="spellEnd"/>
      <w:r>
        <w:rPr>
          <w:rFonts w:ascii="Arial" w:hAnsi="Arial" w:cs="Arial"/>
          <w:sz w:val="21"/>
          <w:szCs w:val="21"/>
        </w:rPr>
        <w:t>, ai quali l’azienda ha partecipato improntando la propria presenza sulla sostenibilità</w:t>
      </w:r>
      <w:r w:rsidR="000D0B3A">
        <w:rPr>
          <w:rFonts w:ascii="Arial" w:hAnsi="Arial" w:cs="Arial"/>
          <w:sz w:val="21"/>
          <w:szCs w:val="21"/>
        </w:rPr>
        <w:t xml:space="preserve">, attraverso stand </w:t>
      </w:r>
      <w:r w:rsidR="000D0B3A" w:rsidRPr="000D0B3A">
        <w:rPr>
          <w:rFonts w:ascii="Arial" w:hAnsi="Arial" w:cs="Arial"/>
          <w:sz w:val="21"/>
          <w:szCs w:val="21"/>
        </w:rPr>
        <w:t>appositamente costruit</w:t>
      </w:r>
      <w:r w:rsidR="000D0B3A">
        <w:rPr>
          <w:rFonts w:ascii="Arial" w:hAnsi="Arial" w:cs="Arial"/>
          <w:sz w:val="21"/>
          <w:szCs w:val="21"/>
        </w:rPr>
        <w:t>i</w:t>
      </w:r>
      <w:r w:rsidR="000D0B3A" w:rsidRPr="000D0B3A">
        <w:rPr>
          <w:rFonts w:ascii="Arial" w:hAnsi="Arial" w:cs="Arial"/>
          <w:sz w:val="21"/>
          <w:szCs w:val="21"/>
        </w:rPr>
        <w:t xml:space="preserve"> con packaging e materiali successivamente recuperati e riutilizzati in produzione.</w:t>
      </w:r>
    </w:p>
    <w:p w14:paraId="3A4458EA" w14:textId="77777777" w:rsidR="000D0B3A" w:rsidRPr="007E053F" w:rsidRDefault="000D0B3A" w:rsidP="00095FDD">
      <w:pPr>
        <w:spacing w:line="276" w:lineRule="auto"/>
        <w:ind w:right="-6"/>
        <w:jc w:val="both"/>
        <w:rPr>
          <w:rFonts w:ascii="Arial" w:hAnsi="Arial" w:cs="Arial"/>
          <w:sz w:val="10"/>
          <w:szCs w:val="10"/>
        </w:rPr>
      </w:pPr>
    </w:p>
    <w:p w14:paraId="147763A8" w14:textId="6F62B547" w:rsidR="000D0B3A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ogni visitatore sono stati donati 250 litri di acqua al progetto idrico </w:t>
      </w:r>
      <w:r w:rsidRPr="00D64BFF">
        <w:rPr>
          <w:rFonts w:ascii="Arial" w:hAnsi="Arial" w:cs="Arial"/>
          <w:sz w:val="21"/>
          <w:szCs w:val="21"/>
        </w:rPr>
        <w:t xml:space="preserve">WAMI a </w:t>
      </w:r>
      <w:proofErr w:type="spellStart"/>
      <w:r w:rsidRPr="00D64BFF">
        <w:rPr>
          <w:rFonts w:ascii="Arial" w:hAnsi="Arial" w:cs="Arial"/>
          <w:sz w:val="21"/>
          <w:szCs w:val="21"/>
        </w:rPr>
        <w:t>Betoho</w:t>
      </w:r>
      <w:proofErr w:type="spellEnd"/>
      <w:r w:rsidRPr="00D64BFF">
        <w:rPr>
          <w:rFonts w:ascii="Arial" w:hAnsi="Arial" w:cs="Arial"/>
          <w:sz w:val="21"/>
          <w:szCs w:val="21"/>
        </w:rPr>
        <w:t>, nel sud del Madagascar, paese in cui circa il 40% della popolazione non ha accesso a fonti d’acqua potabile.</w:t>
      </w:r>
    </w:p>
    <w:p w14:paraId="33A4C277" w14:textId="38D15F61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</w:t>
      </w:r>
      <w:r w:rsidRPr="00D64BFF">
        <w:rPr>
          <w:rFonts w:ascii="Arial" w:hAnsi="Arial" w:cs="Arial"/>
          <w:sz w:val="21"/>
          <w:szCs w:val="21"/>
        </w:rPr>
        <w:t xml:space="preserve">progetto contribuisce al raggiungimento di alcuni </w:t>
      </w:r>
      <w:proofErr w:type="spellStart"/>
      <w:r w:rsidRPr="00D64BFF">
        <w:rPr>
          <w:rFonts w:ascii="Arial" w:hAnsi="Arial" w:cs="Arial"/>
          <w:sz w:val="21"/>
          <w:szCs w:val="21"/>
        </w:rPr>
        <w:t>SDGs</w:t>
      </w:r>
      <w:proofErr w:type="spellEnd"/>
      <w:r w:rsidRPr="00D64BFF">
        <w:rPr>
          <w:rFonts w:ascii="Arial" w:hAnsi="Arial" w:cs="Arial"/>
          <w:sz w:val="21"/>
          <w:szCs w:val="21"/>
        </w:rPr>
        <w:t xml:space="preserve"> fondamentali dell'Agenda 2030 delle Nazioni Unite: rendere l'acqua potabile accessibile a tutti porta migliori condizioni igieniche, ed è un passo verso il miglioramento della parità di genere e dell'istruzione di qualità, consentendo alle ragazze di andare a scuola e alle donne di formarsi professionalmente. Infine, è fondamentale per la lotta ai cambiamenti climatici, perché l'accesso diretto all'acqua riduce le emissioni di CO2.</w:t>
      </w:r>
    </w:p>
    <w:p w14:paraId="52C52300" w14:textId="292F1401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Ciascun ospite degli stand FILA è stato omaggiato di un codice da inserire </w:t>
      </w:r>
      <w:r w:rsidRPr="00D64BFF">
        <w:rPr>
          <w:rFonts w:ascii="Arial" w:hAnsi="Arial" w:cs="Arial"/>
          <w:sz w:val="21"/>
          <w:szCs w:val="21"/>
        </w:rPr>
        <w:t xml:space="preserve">sulla web-app di WAMI </w:t>
      </w:r>
      <w:r>
        <w:rPr>
          <w:rFonts w:ascii="Arial" w:hAnsi="Arial" w:cs="Arial"/>
          <w:sz w:val="21"/>
          <w:szCs w:val="21"/>
        </w:rPr>
        <w:t xml:space="preserve">che permetteva, tra le altre cose, di partecipare a un gioco sul </w:t>
      </w:r>
      <w:r w:rsidRPr="00D64BFF">
        <w:rPr>
          <w:rFonts w:ascii="Arial" w:hAnsi="Arial" w:cs="Arial"/>
          <w:sz w:val="21"/>
          <w:szCs w:val="21"/>
        </w:rPr>
        <w:t>percorso di sensibilizzazione sull’importanza dell’acqua in Italia e nel mondo</w:t>
      </w:r>
      <w:r>
        <w:rPr>
          <w:rFonts w:ascii="Arial" w:hAnsi="Arial" w:cs="Arial"/>
          <w:sz w:val="21"/>
          <w:szCs w:val="21"/>
        </w:rPr>
        <w:t xml:space="preserve"> e </w:t>
      </w:r>
      <w:r w:rsidRPr="00D64BFF">
        <w:rPr>
          <w:rFonts w:ascii="Arial" w:hAnsi="Arial" w:cs="Arial"/>
          <w:sz w:val="21"/>
          <w:szCs w:val="21"/>
        </w:rPr>
        <w:t xml:space="preserve">scoprire </w:t>
      </w:r>
      <w:r>
        <w:rPr>
          <w:rFonts w:ascii="Arial" w:hAnsi="Arial" w:cs="Arial"/>
          <w:sz w:val="21"/>
          <w:szCs w:val="21"/>
        </w:rPr>
        <w:t>informazioni</w:t>
      </w:r>
      <w:r w:rsidRPr="00D64BFF">
        <w:rPr>
          <w:rFonts w:ascii="Arial" w:hAnsi="Arial" w:cs="Arial"/>
          <w:sz w:val="21"/>
          <w:szCs w:val="21"/>
        </w:rPr>
        <w:t xml:space="preserve"> sulla </w:t>
      </w:r>
      <w:r>
        <w:rPr>
          <w:rFonts w:ascii="Arial" w:hAnsi="Arial" w:cs="Arial"/>
          <w:sz w:val="21"/>
          <w:szCs w:val="21"/>
        </w:rPr>
        <w:t>propria</w:t>
      </w:r>
      <w:r w:rsidRPr="00D64BFF">
        <w:rPr>
          <w:rFonts w:ascii="Arial" w:hAnsi="Arial" w:cs="Arial"/>
          <w:sz w:val="21"/>
          <w:szCs w:val="21"/>
        </w:rPr>
        <w:t xml:space="preserve"> impronta idri</w:t>
      </w:r>
      <w:r>
        <w:rPr>
          <w:rFonts w:ascii="Arial" w:hAnsi="Arial" w:cs="Arial"/>
          <w:sz w:val="21"/>
          <w:szCs w:val="21"/>
        </w:rPr>
        <w:t>ca e le strategie per ridurla.</w:t>
      </w:r>
    </w:p>
    <w:p w14:paraId="21FBE791" w14:textId="57EF6690" w:rsidR="00DA49F9" w:rsidRPr="007E053F" w:rsidRDefault="00DA49F9" w:rsidP="00095FDD">
      <w:pPr>
        <w:spacing w:line="276" w:lineRule="auto"/>
        <w:ind w:right="-6"/>
        <w:jc w:val="both"/>
        <w:rPr>
          <w:rFonts w:ascii="Arial" w:hAnsi="Arial" w:cs="Arial"/>
          <w:sz w:val="10"/>
          <w:szCs w:val="10"/>
        </w:rPr>
      </w:pPr>
    </w:p>
    <w:p w14:paraId="163E87B1" w14:textId="5344D18C" w:rsidR="00DA49F9" w:rsidRDefault="00DA49F9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partnership prosegue </w:t>
      </w:r>
      <w:r w:rsidR="000D0B3A">
        <w:rPr>
          <w:rFonts w:ascii="Arial" w:hAnsi="Arial" w:cs="Arial"/>
          <w:sz w:val="21"/>
          <w:szCs w:val="21"/>
        </w:rPr>
        <w:t>tutt’ora</w:t>
      </w:r>
      <w:r>
        <w:rPr>
          <w:rFonts w:ascii="Arial" w:hAnsi="Arial" w:cs="Arial"/>
          <w:sz w:val="21"/>
          <w:szCs w:val="21"/>
        </w:rPr>
        <w:t xml:space="preserve"> in azienda. FILA Solutions infatti continuerà a </w:t>
      </w:r>
      <w:r w:rsidR="000D0B3A">
        <w:rPr>
          <w:rFonts w:ascii="Arial" w:hAnsi="Arial" w:cs="Arial"/>
          <w:sz w:val="21"/>
          <w:szCs w:val="21"/>
        </w:rPr>
        <w:t>collaborare</w:t>
      </w:r>
      <w:r>
        <w:rPr>
          <w:rFonts w:ascii="Arial" w:hAnsi="Arial" w:cs="Arial"/>
          <w:sz w:val="21"/>
          <w:szCs w:val="21"/>
        </w:rPr>
        <w:t xml:space="preserve"> ai progetti di WAMI</w:t>
      </w:r>
      <w:r w:rsidR="000D0B3A">
        <w:rPr>
          <w:rFonts w:ascii="Arial" w:hAnsi="Arial" w:cs="Arial"/>
          <w:sz w:val="21"/>
          <w:szCs w:val="21"/>
        </w:rPr>
        <w:t xml:space="preserve"> a favore delle comunità prive di accesso diretto all’acqua</w:t>
      </w:r>
      <w:r>
        <w:rPr>
          <w:rFonts w:ascii="Arial" w:hAnsi="Arial" w:cs="Arial"/>
          <w:sz w:val="21"/>
          <w:szCs w:val="21"/>
        </w:rPr>
        <w:t xml:space="preserve"> </w:t>
      </w:r>
      <w:r w:rsidR="00CB2340">
        <w:rPr>
          <w:rFonts w:ascii="Arial" w:hAnsi="Arial" w:cs="Arial"/>
          <w:sz w:val="21"/>
          <w:szCs w:val="21"/>
        </w:rPr>
        <w:t xml:space="preserve">con un acquisto continuativo di acqua in vetro da offrire ai propri ospiti, contribuendo così </w:t>
      </w:r>
      <w:r w:rsidR="000D0B3A">
        <w:rPr>
          <w:rFonts w:ascii="Arial" w:hAnsi="Arial" w:cs="Arial"/>
          <w:sz w:val="21"/>
          <w:szCs w:val="21"/>
        </w:rPr>
        <w:t>a compensare la loro impronta idrica</w:t>
      </w:r>
      <w:r>
        <w:rPr>
          <w:rFonts w:ascii="Arial" w:hAnsi="Arial" w:cs="Arial"/>
          <w:sz w:val="21"/>
          <w:szCs w:val="21"/>
        </w:rPr>
        <w:t>.</w:t>
      </w:r>
    </w:p>
    <w:p w14:paraId="14CB4189" w14:textId="549DCEE1" w:rsidR="00E21BAD" w:rsidRPr="007E053F" w:rsidRDefault="00E21BAD" w:rsidP="00095FDD">
      <w:pPr>
        <w:spacing w:line="276" w:lineRule="auto"/>
        <w:ind w:right="-6"/>
        <w:jc w:val="both"/>
        <w:rPr>
          <w:rFonts w:ascii="Arial" w:hAnsi="Arial" w:cs="Arial"/>
          <w:sz w:val="10"/>
          <w:szCs w:val="10"/>
        </w:rPr>
      </w:pPr>
    </w:p>
    <w:p w14:paraId="21FE51DC" w14:textId="1227C260" w:rsidR="00E21BAD" w:rsidRDefault="00E21BAD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Iniziative che si inseriscono in un impegno per la sostenibilità che permea ogni aspetto della vita aziendale.</w:t>
      </w:r>
    </w:p>
    <w:p w14:paraId="1263F880" w14:textId="70A7B466" w:rsidR="00A13A2F" w:rsidRDefault="00E21BAD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 w:rsidRPr="00E21BAD">
        <w:rPr>
          <w:rFonts w:ascii="Arial" w:hAnsi="Arial" w:cs="Arial"/>
          <w:sz w:val="21"/>
          <w:szCs w:val="21"/>
        </w:rPr>
        <w:t xml:space="preserve">A conferma di questo, </w:t>
      </w:r>
      <w:r>
        <w:rPr>
          <w:rFonts w:ascii="Arial" w:hAnsi="Arial" w:cs="Arial"/>
          <w:sz w:val="21"/>
          <w:szCs w:val="21"/>
        </w:rPr>
        <w:t xml:space="preserve">FILA Solutions è stata </w:t>
      </w:r>
      <w:r w:rsidR="00A13A2F">
        <w:rPr>
          <w:rFonts w:ascii="Arial" w:hAnsi="Arial" w:cs="Arial"/>
          <w:sz w:val="21"/>
          <w:szCs w:val="21"/>
        </w:rPr>
        <w:t>premiata</w:t>
      </w:r>
      <w:r>
        <w:rPr>
          <w:rFonts w:ascii="Arial" w:hAnsi="Arial" w:cs="Arial"/>
          <w:sz w:val="21"/>
          <w:szCs w:val="21"/>
        </w:rPr>
        <w:t xml:space="preserve"> per il secondo anno consecutivo</w:t>
      </w:r>
      <w:r w:rsidR="00A13A2F">
        <w:rPr>
          <w:rFonts w:ascii="Arial" w:hAnsi="Arial" w:cs="Arial"/>
          <w:sz w:val="21"/>
          <w:szCs w:val="21"/>
        </w:rPr>
        <w:t xml:space="preserve"> al </w:t>
      </w:r>
      <w:r w:rsidR="00A13A2F" w:rsidRPr="00E21BAD">
        <w:rPr>
          <w:rFonts w:ascii="Arial" w:hAnsi="Arial" w:cs="Arial"/>
          <w:sz w:val="21"/>
          <w:szCs w:val="21"/>
        </w:rPr>
        <w:t>Sustainability Award 2022</w:t>
      </w:r>
      <w:r w:rsidR="00A13A2F">
        <w:rPr>
          <w:rFonts w:ascii="Arial" w:hAnsi="Arial" w:cs="Arial"/>
          <w:sz w:val="21"/>
          <w:szCs w:val="21"/>
        </w:rPr>
        <w:t>, inserendosi</w:t>
      </w:r>
      <w:r>
        <w:rPr>
          <w:rFonts w:ascii="Arial" w:hAnsi="Arial" w:cs="Arial"/>
          <w:sz w:val="21"/>
          <w:szCs w:val="21"/>
        </w:rPr>
        <w:t xml:space="preserve"> </w:t>
      </w:r>
      <w:r w:rsidRPr="00E21BAD">
        <w:rPr>
          <w:rFonts w:ascii="Arial" w:hAnsi="Arial" w:cs="Arial"/>
          <w:sz w:val="21"/>
          <w:szCs w:val="21"/>
        </w:rPr>
        <w:t>tra le 100 aziende italiane più sostenibili</w:t>
      </w:r>
      <w:r w:rsidR="00A13A2F">
        <w:rPr>
          <w:rFonts w:ascii="Arial" w:hAnsi="Arial" w:cs="Arial"/>
          <w:sz w:val="21"/>
          <w:szCs w:val="21"/>
        </w:rPr>
        <w:t xml:space="preserve"> </w:t>
      </w:r>
      <w:r w:rsidR="00A13A2F" w:rsidRPr="00E21BAD">
        <w:rPr>
          <w:rFonts w:ascii="Arial" w:hAnsi="Arial" w:cs="Arial"/>
          <w:sz w:val="21"/>
          <w:szCs w:val="21"/>
        </w:rPr>
        <w:t xml:space="preserve">nella classifica redatta e promossa da Credit Suisse e </w:t>
      </w:r>
      <w:proofErr w:type="spellStart"/>
      <w:r w:rsidR="00A13A2F" w:rsidRPr="00E21BAD">
        <w:rPr>
          <w:rFonts w:ascii="Arial" w:hAnsi="Arial" w:cs="Arial"/>
          <w:sz w:val="21"/>
          <w:szCs w:val="21"/>
        </w:rPr>
        <w:t>Kon</w:t>
      </w:r>
      <w:proofErr w:type="spellEnd"/>
      <w:r w:rsidR="00A13A2F" w:rsidRPr="00E21BAD">
        <w:rPr>
          <w:rFonts w:ascii="Arial" w:hAnsi="Arial" w:cs="Arial"/>
          <w:sz w:val="21"/>
          <w:szCs w:val="21"/>
        </w:rPr>
        <w:t xml:space="preserve"> Group, con la Media Partnership di Forbes</w:t>
      </w:r>
      <w:r w:rsidRPr="00E21BAD">
        <w:rPr>
          <w:rFonts w:ascii="Arial" w:hAnsi="Arial" w:cs="Arial"/>
          <w:sz w:val="21"/>
          <w:szCs w:val="21"/>
        </w:rPr>
        <w:t xml:space="preserve">, con rating ESG emesso da Altis Università Cattolica e </w:t>
      </w:r>
      <w:proofErr w:type="spellStart"/>
      <w:r w:rsidRPr="00E21BAD">
        <w:rPr>
          <w:rFonts w:ascii="Arial" w:hAnsi="Arial" w:cs="Arial"/>
          <w:sz w:val="21"/>
          <w:szCs w:val="21"/>
        </w:rPr>
        <w:t>Reprisk</w:t>
      </w:r>
      <w:proofErr w:type="spellEnd"/>
      <w:r w:rsidR="00A13A2F">
        <w:rPr>
          <w:rFonts w:ascii="Arial" w:hAnsi="Arial" w:cs="Arial"/>
          <w:sz w:val="21"/>
          <w:szCs w:val="21"/>
        </w:rPr>
        <w:t>.</w:t>
      </w:r>
    </w:p>
    <w:p w14:paraId="45166AB9" w14:textId="73E725B6" w:rsidR="00E21BAD" w:rsidRDefault="00A13A2F" w:rsidP="00095FDD">
      <w:pPr>
        <w:spacing w:line="276" w:lineRule="auto"/>
        <w:ind w:right="-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È </w:t>
      </w:r>
      <w:r w:rsidR="00E21BAD" w:rsidRPr="00E21BAD">
        <w:rPr>
          <w:rFonts w:ascii="Arial" w:hAnsi="Arial" w:cs="Arial"/>
          <w:sz w:val="21"/>
          <w:szCs w:val="21"/>
        </w:rPr>
        <w:t>stata, inoltre, selezionata come "50 Top Performance Companies", tra le aziende virtuose che hanno maggiormente incrementato il</w:t>
      </w:r>
      <w:r>
        <w:rPr>
          <w:rFonts w:ascii="Arial" w:hAnsi="Arial" w:cs="Arial"/>
          <w:sz w:val="21"/>
          <w:szCs w:val="21"/>
        </w:rPr>
        <w:t xml:space="preserve"> proprio</w:t>
      </w:r>
      <w:r w:rsidR="00E21BAD" w:rsidRPr="00E21BAD">
        <w:rPr>
          <w:rFonts w:ascii="Arial" w:hAnsi="Arial" w:cs="Arial"/>
          <w:sz w:val="21"/>
          <w:szCs w:val="21"/>
        </w:rPr>
        <w:t xml:space="preserve"> rating ESG.</w:t>
      </w:r>
    </w:p>
    <w:bookmarkEnd w:id="0"/>
    <w:p w14:paraId="673E5BD1" w14:textId="3BBD682B" w:rsidR="00E8760C" w:rsidRPr="00E8760C" w:rsidRDefault="00E8760C" w:rsidP="009839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color w:val="auto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Francesco ed Alessandra Pettenon, ricoprono la carica di Amministratori Delegati dell’Azienda: una realtà in continua espansione, che conta 104 dipendenti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biodegradabili fino al 98% mentre le formulazioni a base d'acqua rappresentano l’81% sul totale della produzione.</w:t>
      </w:r>
    </w:p>
    <w:p w14:paraId="532BE6E2" w14:textId="5491810A" w:rsidR="00983992" w:rsidRDefault="00C75852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3DC95B7F" w14:textId="77777777" w:rsidR="00983992" w:rsidRDefault="00983992" w:rsidP="00983992">
      <w:pPr>
        <w:ind w:right="-7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983992">
      <w:pPr>
        <w:ind w:right="-6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983992">
      <w:pPr>
        <w:ind w:right="-6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0E90C24" w14:textId="77777777" w:rsidR="00A62800" w:rsidRPr="005F2009" w:rsidRDefault="007E053F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62800" w:rsidRPr="005F2009" w:rsidSect="00983992">
      <w:headerReference w:type="default" r:id="rId8"/>
      <w:footerReference w:type="default" r:id="rId9"/>
      <w:pgSz w:w="11900" w:h="16840" w:code="9"/>
      <w:pgMar w:top="2835" w:right="567" w:bottom="907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54B7" w14:textId="77777777" w:rsidR="004A0487" w:rsidRDefault="004A0487">
      <w:r>
        <w:separator/>
      </w:r>
    </w:p>
  </w:endnote>
  <w:endnote w:type="continuationSeparator" w:id="0">
    <w:p w14:paraId="1C982231" w14:textId="77777777" w:rsidR="004A0487" w:rsidRDefault="004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00EA" w14:textId="77777777" w:rsidR="004A0487" w:rsidRDefault="004A0487"/>
  </w:footnote>
  <w:footnote w:type="continuationSeparator" w:id="0">
    <w:p w14:paraId="46BB600A" w14:textId="77777777" w:rsidR="004A0487" w:rsidRDefault="004A04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7E053F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9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1713185505">
    <w:abstractNumId w:val="8"/>
  </w:num>
  <w:num w:numId="2" w16cid:durableId="1964340468">
    <w:abstractNumId w:val="10"/>
  </w:num>
  <w:num w:numId="3" w16cid:durableId="983002338">
    <w:abstractNumId w:val="4"/>
  </w:num>
  <w:num w:numId="4" w16cid:durableId="1396318701">
    <w:abstractNumId w:val="0"/>
  </w:num>
  <w:num w:numId="5" w16cid:durableId="1035470486">
    <w:abstractNumId w:val="9"/>
  </w:num>
  <w:num w:numId="6" w16cid:durableId="1289820592">
    <w:abstractNumId w:val="6"/>
  </w:num>
  <w:num w:numId="7" w16cid:durableId="1347057194">
    <w:abstractNumId w:val="5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592"/>
    <w:rsid w:val="00035D9A"/>
    <w:rsid w:val="000931A2"/>
    <w:rsid w:val="000948B5"/>
    <w:rsid w:val="00095FDD"/>
    <w:rsid w:val="000964D2"/>
    <w:rsid w:val="00097923"/>
    <w:rsid w:val="000A101B"/>
    <w:rsid w:val="000B0123"/>
    <w:rsid w:val="000C243E"/>
    <w:rsid w:val="000D0B3A"/>
    <w:rsid w:val="000D3A9E"/>
    <w:rsid w:val="000E3266"/>
    <w:rsid w:val="00101F1B"/>
    <w:rsid w:val="001035DC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97D3B"/>
    <w:rsid w:val="001A291A"/>
    <w:rsid w:val="001A7659"/>
    <w:rsid w:val="001C1F4F"/>
    <w:rsid w:val="001C34E1"/>
    <w:rsid w:val="001C412D"/>
    <w:rsid w:val="001E3765"/>
    <w:rsid w:val="001E747C"/>
    <w:rsid w:val="001E7F75"/>
    <w:rsid w:val="00203625"/>
    <w:rsid w:val="00217DAC"/>
    <w:rsid w:val="002200C9"/>
    <w:rsid w:val="00223A82"/>
    <w:rsid w:val="00230980"/>
    <w:rsid w:val="002560BF"/>
    <w:rsid w:val="00267D33"/>
    <w:rsid w:val="00271B79"/>
    <w:rsid w:val="0027399D"/>
    <w:rsid w:val="00297888"/>
    <w:rsid w:val="002A0B45"/>
    <w:rsid w:val="002B0F36"/>
    <w:rsid w:val="002B14B1"/>
    <w:rsid w:val="002B1689"/>
    <w:rsid w:val="002D3387"/>
    <w:rsid w:val="002F07D5"/>
    <w:rsid w:val="00320C93"/>
    <w:rsid w:val="00322FC9"/>
    <w:rsid w:val="00333289"/>
    <w:rsid w:val="003412DB"/>
    <w:rsid w:val="00345B3F"/>
    <w:rsid w:val="0036685E"/>
    <w:rsid w:val="00366902"/>
    <w:rsid w:val="00366C8B"/>
    <w:rsid w:val="003A3592"/>
    <w:rsid w:val="003B5CD8"/>
    <w:rsid w:val="003D4118"/>
    <w:rsid w:val="003E6BBC"/>
    <w:rsid w:val="00405268"/>
    <w:rsid w:val="004107F8"/>
    <w:rsid w:val="00434A34"/>
    <w:rsid w:val="00442C45"/>
    <w:rsid w:val="00443FC4"/>
    <w:rsid w:val="00454AA2"/>
    <w:rsid w:val="004666AE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5BB9"/>
    <w:rsid w:val="004D024D"/>
    <w:rsid w:val="004E4D2A"/>
    <w:rsid w:val="004E574E"/>
    <w:rsid w:val="004F567E"/>
    <w:rsid w:val="005058AE"/>
    <w:rsid w:val="005363AE"/>
    <w:rsid w:val="00551C8B"/>
    <w:rsid w:val="00554FB2"/>
    <w:rsid w:val="005A42B4"/>
    <w:rsid w:val="005C4F82"/>
    <w:rsid w:val="005D4BB9"/>
    <w:rsid w:val="005D5C3C"/>
    <w:rsid w:val="005D7D23"/>
    <w:rsid w:val="005F2009"/>
    <w:rsid w:val="005F6623"/>
    <w:rsid w:val="00604641"/>
    <w:rsid w:val="00604BA6"/>
    <w:rsid w:val="00622A4F"/>
    <w:rsid w:val="00627809"/>
    <w:rsid w:val="006313A3"/>
    <w:rsid w:val="0063317B"/>
    <w:rsid w:val="0063459F"/>
    <w:rsid w:val="006532D8"/>
    <w:rsid w:val="00653752"/>
    <w:rsid w:val="00664C2B"/>
    <w:rsid w:val="00681A8F"/>
    <w:rsid w:val="0069222D"/>
    <w:rsid w:val="00695ADF"/>
    <w:rsid w:val="00697D12"/>
    <w:rsid w:val="006B49AC"/>
    <w:rsid w:val="006C64C3"/>
    <w:rsid w:val="006E34B2"/>
    <w:rsid w:val="006F5478"/>
    <w:rsid w:val="00700ED1"/>
    <w:rsid w:val="0070320C"/>
    <w:rsid w:val="00712E06"/>
    <w:rsid w:val="00715059"/>
    <w:rsid w:val="0071555B"/>
    <w:rsid w:val="007239D5"/>
    <w:rsid w:val="007272B5"/>
    <w:rsid w:val="007461C0"/>
    <w:rsid w:val="00761C54"/>
    <w:rsid w:val="00777730"/>
    <w:rsid w:val="00795C88"/>
    <w:rsid w:val="007B60FA"/>
    <w:rsid w:val="007B6330"/>
    <w:rsid w:val="007C1B07"/>
    <w:rsid w:val="007C4CFA"/>
    <w:rsid w:val="007E053F"/>
    <w:rsid w:val="007E7851"/>
    <w:rsid w:val="007F0008"/>
    <w:rsid w:val="007F4F6C"/>
    <w:rsid w:val="008070C2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6B2A"/>
    <w:rsid w:val="008F54AC"/>
    <w:rsid w:val="008F56AF"/>
    <w:rsid w:val="0090529B"/>
    <w:rsid w:val="00915FE1"/>
    <w:rsid w:val="009228A1"/>
    <w:rsid w:val="00924BF2"/>
    <w:rsid w:val="009430DB"/>
    <w:rsid w:val="00953D65"/>
    <w:rsid w:val="00971260"/>
    <w:rsid w:val="00983992"/>
    <w:rsid w:val="00985F48"/>
    <w:rsid w:val="00990B11"/>
    <w:rsid w:val="00991039"/>
    <w:rsid w:val="00992D62"/>
    <w:rsid w:val="00996B2B"/>
    <w:rsid w:val="009C7E13"/>
    <w:rsid w:val="009D3B01"/>
    <w:rsid w:val="009F1BCC"/>
    <w:rsid w:val="00A037F4"/>
    <w:rsid w:val="00A13A2F"/>
    <w:rsid w:val="00A1466C"/>
    <w:rsid w:val="00A24B16"/>
    <w:rsid w:val="00A276C3"/>
    <w:rsid w:val="00A400A8"/>
    <w:rsid w:val="00A53FCF"/>
    <w:rsid w:val="00A56A9E"/>
    <w:rsid w:val="00A61A7E"/>
    <w:rsid w:val="00A62800"/>
    <w:rsid w:val="00A62CB6"/>
    <w:rsid w:val="00A633EE"/>
    <w:rsid w:val="00A77356"/>
    <w:rsid w:val="00A93DF9"/>
    <w:rsid w:val="00AA171B"/>
    <w:rsid w:val="00AD2463"/>
    <w:rsid w:val="00AD3732"/>
    <w:rsid w:val="00AE0DBB"/>
    <w:rsid w:val="00B003A6"/>
    <w:rsid w:val="00B10CCE"/>
    <w:rsid w:val="00B1159A"/>
    <w:rsid w:val="00B14275"/>
    <w:rsid w:val="00B1511E"/>
    <w:rsid w:val="00B21D8B"/>
    <w:rsid w:val="00B24AE0"/>
    <w:rsid w:val="00B3290F"/>
    <w:rsid w:val="00B4551B"/>
    <w:rsid w:val="00B46A4F"/>
    <w:rsid w:val="00B54640"/>
    <w:rsid w:val="00B60F26"/>
    <w:rsid w:val="00B76E66"/>
    <w:rsid w:val="00B87448"/>
    <w:rsid w:val="00BA743E"/>
    <w:rsid w:val="00BC1DC4"/>
    <w:rsid w:val="00BC4DAB"/>
    <w:rsid w:val="00BE09FF"/>
    <w:rsid w:val="00BF5E20"/>
    <w:rsid w:val="00C17652"/>
    <w:rsid w:val="00C2548C"/>
    <w:rsid w:val="00C3338F"/>
    <w:rsid w:val="00C47A86"/>
    <w:rsid w:val="00C5653B"/>
    <w:rsid w:val="00C75852"/>
    <w:rsid w:val="00C827F1"/>
    <w:rsid w:val="00C828C2"/>
    <w:rsid w:val="00C9074C"/>
    <w:rsid w:val="00C958EB"/>
    <w:rsid w:val="00C97645"/>
    <w:rsid w:val="00CB2340"/>
    <w:rsid w:val="00CC7923"/>
    <w:rsid w:val="00CD1A79"/>
    <w:rsid w:val="00CD39F5"/>
    <w:rsid w:val="00CD41C4"/>
    <w:rsid w:val="00D038DD"/>
    <w:rsid w:val="00D1782B"/>
    <w:rsid w:val="00D20988"/>
    <w:rsid w:val="00D32A4A"/>
    <w:rsid w:val="00D342C3"/>
    <w:rsid w:val="00D44749"/>
    <w:rsid w:val="00D52A8B"/>
    <w:rsid w:val="00D52BEA"/>
    <w:rsid w:val="00D64BFF"/>
    <w:rsid w:val="00D80E91"/>
    <w:rsid w:val="00D82A99"/>
    <w:rsid w:val="00D83DF0"/>
    <w:rsid w:val="00D85CDB"/>
    <w:rsid w:val="00D94A8E"/>
    <w:rsid w:val="00DA49F9"/>
    <w:rsid w:val="00DB4161"/>
    <w:rsid w:val="00DB5620"/>
    <w:rsid w:val="00DB6688"/>
    <w:rsid w:val="00DC3696"/>
    <w:rsid w:val="00DE0B26"/>
    <w:rsid w:val="00DE1AD3"/>
    <w:rsid w:val="00DE5F1F"/>
    <w:rsid w:val="00E03511"/>
    <w:rsid w:val="00E13388"/>
    <w:rsid w:val="00E21BAD"/>
    <w:rsid w:val="00E25F6F"/>
    <w:rsid w:val="00E31672"/>
    <w:rsid w:val="00E361F3"/>
    <w:rsid w:val="00E44CE7"/>
    <w:rsid w:val="00E63489"/>
    <w:rsid w:val="00E64611"/>
    <w:rsid w:val="00E74BCD"/>
    <w:rsid w:val="00E81D6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432A"/>
    <w:rsid w:val="00F06096"/>
    <w:rsid w:val="00F10C83"/>
    <w:rsid w:val="00F247B1"/>
    <w:rsid w:val="00F31C04"/>
    <w:rsid w:val="00F3728E"/>
    <w:rsid w:val="00F378B8"/>
    <w:rsid w:val="00F50B9B"/>
    <w:rsid w:val="00F61526"/>
    <w:rsid w:val="00F926AE"/>
    <w:rsid w:val="00F9327E"/>
    <w:rsid w:val="00FA2CBF"/>
    <w:rsid w:val="00FA2E61"/>
    <w:rsid w:val="00FA5B15"/>
    <w:rsid w:val="00FB2226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928E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38</cp:revision>
  <cp:lastPrinted>2022-10-03T08:50:00Z</cp:lastPrinted>
  <dcterms:created xsi:type="dcterms:W3CDTF">2022-07-21T08:53:00Z</dcterms:created>
  <dcterms:modified xsi:type="dcterms:W3CDTF">2022-10-25T09:53:00Z</dcterms:modified>
</cp:coreProperties>
</file>