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14E4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jc w:val="center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5FBE2945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1D422FFC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F3789F3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60B3F9FB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7389EFB1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0DBD4D85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3253904E" w14:textId="77777777" w:rsidR="00ED5838" w:rsidRDefault="00ED5838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="0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p w14:paraId="1386FFAA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Pflege und Schutz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Terrassenplatten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Sandstein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Schiefer</w:t>
      </w:r>
      <w:proofErr w:type="spellEnd"/>
    </w:p>
    <w:p w14:paraId="3D0AD781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Sandstein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Schiefer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Travertin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wird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häufig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Gestaltung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Außenbereichen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verwendet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Um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optische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funktionale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Qualität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dieser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Materialien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langfristig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zu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erhalten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sind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angemessene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Reinigung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Schutz und Pflege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erforderlich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FA32EC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Funktion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Schutz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Außenbereich</w:t>
      </w:r>
      <w:proofErr w:type="spellEnd"/>
    </w:p>
    <w:p w14:paraId="10807761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Außenbereich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kann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durch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entsprechende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Oberflächenbearbeitungen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zum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Beispiel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sandgestrahlte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spaltraue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oder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gestockte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Oberfläche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funktionale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Eigenschaften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Rutschhemmung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bieten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Um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Materialeigenschaften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optische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Erscheinung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langfristig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zu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erhalten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ist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jedoch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geeigneter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Schutz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als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Reinigungserleichterung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erforderlich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strukturierte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“Outdoor-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Oberfläche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”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birgt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Herausforderung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: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Schmutz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kann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in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Struktur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Oberflächen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festsetzen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durch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Grünbewuchs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Moos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Flechten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Algen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wird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nicht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nur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Optik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beeinträchtigt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Gleichzeitig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bildet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rutschiger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Belag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der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rutschhemmende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Wirkung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Natursteinbelags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verringert</w:t>
      </w:r>
      <w:proofErr w:type="spellEnd"/>
      <w:r w:rsidRPr="00CC5871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somit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Sicherheitsrisiko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darstellt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B709071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Reinigung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Terrassenplatten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</w:t>
      </w:r>
      <w:proofErr w:type="spellEnd"/>
    </w:p>
    <w:p w14:paraId="18620E7A" w14:textId="2F1CA766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Reinigung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Terrassenplatten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insbesondere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zur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Vorbereitung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auf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weitere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Behandlungen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sollte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säurefreier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Natursteinreiniger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Grundreinigung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verwendet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werden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Es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ist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wichtig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Steinreiniger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zu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wählen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jeweiligen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geeignet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ist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wirksam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alle Arten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Verschmutzungen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Flecken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Ablagerungen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Grünspan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Moos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entfernen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kann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Dieses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Kriterium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erfüllt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alle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Natursteinbeläge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Außenbereich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ebenso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Feinsteinzeug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Beton zum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Beispiel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8" w:history="1">
        <w:r w:rsidRPr="00CC5871">
          <w:rPr>
            <w:rStyle w:val="Collegamentoipertestuale"/>
            <w:rFonts w:ascii="Arial" w:eastAsia="Arial" w:hAnsi="Arial" w:cs="Arial"/>
            <w:sz w:val="22"/>
            <w:szCs w:val="22"/>
          </w:rPr>
          <w:t>PS87 Pro</w:t>
        </w:r>
      </w:hyperlink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von FILA Solutions.</w:t>
      </w:r>
    </w:p>
    <w:p w14:paraId="04D2267B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Langfristiger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Schutz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</w:t>
      </w:r>
      <w:proofErr w:type="spellEnd"/>
    </w:p>
    <w:p w14:paraId="0D1AED17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Eine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geeignete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Imprägnierung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trägt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dazu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bei,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Oberfläche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nicht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nur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vor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Verschmutzungen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Flecken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Ausblühungen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Grünbelag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zu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schützen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sondern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Alterungsprozess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zu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verlangsamen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D064BDE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Die Wahl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Schutzmittels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sollte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auf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spezifischen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Anforderungen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Materials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auf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Anwendungsbereich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abgestimmt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Dabei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können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verschiedene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Aspekte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Vordergrund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stehen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So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steht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in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Regel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Fleckschutz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als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Schutz an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erster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Stelle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auf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Wunschliste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wo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gegrillt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gegessen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wird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Aber es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gibt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noch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andere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innovative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Möglichkeiten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zum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Beispiel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festigende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Schutzmittel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Salvaterrazza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® Eco,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Verwitterungsprozess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bereits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mit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feinen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Rissen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beeinträchtigtem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Stein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aufhalten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bzw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vorbeugen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5996C8C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Profitrick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Schutzmittel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auf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Wasserbasis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sparen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Zeit</w:t>
      </w:r>
    </w:p>
    <w:p w14:paraId="79E61C16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Erhebliche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Pluspunkte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bieten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wasserbasierten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Imprägnierungen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gerade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Außenbereich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"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grünen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"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Schutzbehandlungen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vertragen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Gegensatz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zu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ihren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lösemittelbasierten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Verwandten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gewissen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Anteil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an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Restfeuchte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Somit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punkten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umweltfreundlichen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Schutzmittel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mit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stark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verkürzten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Bearbeitungszeiten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sind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besonders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anwendungsfreundlich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BD0610C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5871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Schutz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Schieferplatten</w:t>
      </w:r>
      <w:proofErr w:type="spellEnd"/>
    </w:p>
    <w:p w14:paraId="5427AFF2" w14:textId="44F04125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Pflege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Schutz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Schieferplatten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Außenbereich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können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Produkte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verwendet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werden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speziell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diesen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Steintyp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entwickelt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wurden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Auf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Seite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gibt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es neutrale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Fleckschutzmittel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Optik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Steins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nicht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verändern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wasserbasierte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Schutz </w:t>
      </w:r>
      <w:hyperlink r:id="rId9" w:history="1">
        <w:r w:rsidRPr="00CC5871">
          <w:rPr>
            <w:rStyle w:val="Collegamentoipertestuale"/>
            <w:rFonts w:ascii="Arial" w:eastAsia="Arial" w:hAnsi="Arial" w:cs="Arial"/>
            <w:sz w:val="22"/>
            <w:szCs w:val="22"/>
          </w:rPr>
          <w:t>MP90Eco Xtreme</w:t>
        </w:r>
      </w:hyperlink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).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Außerdem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ist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z.B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bei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Schiefer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Schutzmittel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mit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0" w:history="1">
        <w:proofErr w:type="spellStart"/>
        <w:r w:rsidRPr="00CC5871">
          <w:rPr>
            <w:rStyle w:val="Collegamentoipertestuale"/>
            <w:rFonts w:ascii="Arial" w:eastAsia="Arial" w:hAnsi="Arial" w:cs="Arial"/>
            <w:sz w:val="22"/>
            <w:szCs w:val="22"/>
          </w:rPr>
          <w:t>Nasseffekt</w:t>
        </w:r>
        <w:proofErr w:type="spellEnd"/>
      </w:hyperlink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oder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farbtonvertiefender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Schutz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beliebt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Dieser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Effekt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kann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natürliche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Farbtiefe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Struktur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Steins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hervorheben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wird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oft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bei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dunklen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Gesteinen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wie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Schiefer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eingesetzt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195C5A9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Bei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Auswahl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Imprägnierung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für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Außenbereich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sollte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neben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der UV-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Beständigkeit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darauf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geachtet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werden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dass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es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um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wasserbasiertes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Schutzmittel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handelt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diese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vertragen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Restfeuchte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können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Vergleich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zu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Produkten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auf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Lösemittelbasis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mit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stark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verkürzten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Wartezeiten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eingesetzt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werden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9CCA9B4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Erhaltung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der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Materialqualität</w:t>
      </w:r>
      <w:proofErr w:type="spellEnd"/>
    </w:p>
    <w:p w14:paraId="7B9738E7" w14:textId="77777777" w:rsidR="00CC5871" w:rsidRPr="00CC5871" w:rsidRDefault="00CC5871" w:rsidP="00CC5871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Chars="819" w:left="1966" w:right="264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Durch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Anwendung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geeigneter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Reinigungs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-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Schutzmaßnahmen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können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Materialqualität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optische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Erscheinung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von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Naturstein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im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Außenbereich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langfristig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erhalten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werden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Alterungsprozesse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Verwitterung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werden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verlangsamt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und die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Nutzungsdauer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deutlich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C5871">
        <w:rPr>
          <w:rFonts w:ascii="Arial" w:eastAsia="Arial" w:hAnsi="Arial" w:cs="Arial"/>
          <w:color w:val="000000"/>
          <w:sz w:val="22"/>
          <w:szCs w:val="22"/>
        </w:rPr>
        <w:t>verlängert</w:t>
      </w:r>
      <w:proofErr w:type="spellEnd"/>
      <w:r w:rsidRPr="00CC587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E31E8D7" w14:textId="77777777" w:rsidR="004F2E27" w:rsidRPr="004F2E27" w:rsidRDefault="004F2E27" w:rsidP="004F2E27">
      <w:pPr>
        <w:tabs>
          <w:tab w:val="left" w:pos="2120"/>
        </w:tabs>
        <w:suppressAutoHyphens w:val="0"/>
        <w:spacing w:line="240" w:lineRule="auto"/>
        <w:ind w:leftChars="0" w:left="0" w:right="264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18"/>
          <w:szCs w:val="18"/>
        </w:rPr>
      </w:pPr>
    </w:p>
    <w:p w14:paraId="5BBE8254" w14:textId="2BD204F9" w:rsidR="004F2E27" w:rsidRPr="004F2E27" w:rsidRDefault="004F2E27" w:rsidP="004F2E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0"/>
        <w:spacing w:before="100" w:after="100" w:line="240" w:lineRule="auto"/>
        <w:ind w:leftChars="0" w:left="1985" w:right="264" w:firstLineChars="0" w:firstLine="0"/>
        <w:jc w:val="both"/>
        <w:textDirection w:val="lrTb"/>
        <w:textAlignment w:val="auto"/>
        <w:outlineLvl w:val="9"/>
        <w:rPr>
          <w:rFonts w:ascii="GT America Light" w:eastAsia="Times New Roman" w:hAnsi="GT America Light" w:cs="Arial"/>
          <w:position w:val="0"/>
          <w:sz w:val="18"/>
          <w:szCs w:val="18"/>
        </w:rPr>
      </w:pPr>
      <w:r w:rsidRPr="004F2E27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FILA SOLUTIONS S.p.A. SB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ist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ein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internationaler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Bezugspunkt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für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Systeme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zum Schutz und zur Pflege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aller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Oberflächen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. Die 1943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gegründete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„Fabbrica Italiana di Lucidi e Affini“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hat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dank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des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derzeitigen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Präsidenten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Beniamino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Pettenon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ihr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Kerngeschäft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von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Produkten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für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Schuhe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,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Wachse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und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Haushaltsreinigern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weiterentwickelt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auf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Produkten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für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die Pflege von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Oberflächen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,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womit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202</w:t>
      </w:r>
      <w:r w:rsidR="00495BDE">
        <w:rPr>
          <w:rFonts w:ascii="GT America Light" w:eastAsia="Times New Roman" w:hAnsi="GT America Light" w:cs="Arial"/>
          <w:position w:val="0"/>
          <w:sz w:val="18"/>
          <w:szCs w:val="18"/>
        </w:rPr>
        <w:t>4</w:t>
      </w:r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ein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Umsatz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von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rund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2</w:t>
      </w:r>
      <w:r w:rsidR="00495BDE">
        <w:rPr>
          <w:rFonts w:ascii="GT America Light" w:eastAsia="Times New Roman" w:hAnsi="GT America Light" w:cs="Arial"/>
          <w:position w:val="0"/>
          <w:sz w:val="18"/>
          <w:szCs w:val="18"/>
        </w:rPr>
        <w:t>4,5</w:t>
      </w:r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Millionen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Euro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erzielt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wurde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.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Heute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bekleiden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die Kinder von Beniamino, Francesco und Alessandra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Pettenon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, die Position der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Geschäftsführer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des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Unternehmens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: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eine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sich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ständig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erweiternde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Realität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mit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103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Mitarbeitern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insgesamt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,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am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Hauptsitz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und dem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Innovationszentrum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in San Martino di Lupari (PD), dem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Experimentierzentrum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in Fiorano Modenese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im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Herzen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des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Keramikdistrikts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Sassuolo und in der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Vertriebsorganisation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mit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Präsenz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in Deutschland,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Frankreich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,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Spanien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,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den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USA,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Großbritannien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und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den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Vereinigten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Arabischen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Emiraten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. Der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Fokus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liegt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dabei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immer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auf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der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auf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Nachhaltigkeit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ausgerichteten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Strategie: Alle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Produkte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werden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mit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umweltschonenden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Technologien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hergestellt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, die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Reiniger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enthalten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bis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zu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98%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biologisch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abbaubare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Inhaltsstoffe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,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während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wasserbasierte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Formulierungen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8</w:t>
      </w:r>
      <w:r w:rsidR="00495BDE">
        <w:rPr>
          <w:rFonts w:ascii="GT America Light" w:eastAsia="Times New Roman" w:hAnsi="GT America Light" w:cs="Arial"/>
          <w:position w:val="0"/>
          <w:sz w:val="18"/>
          <w:szCs w:val="18"/>
        </w:rPr>
        <w:t>4</w:t>
      </w:r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% der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Gesamtproduktion</w:t>
      </w:r>
      <w:proofErr w:type="spellEnd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 xml:space="preserve"> </w:t>
      </w:r>
      <w:proofErr w:type="spellStart"/>
      <w:r w:rsidR="00874983" w:rsidRPr="00495BDE">
        <w:rPr>
          <w:rFonts w:ascii="GT America Light" w:eastAsia="Times New Roman" w:hAnsi="GT America Light" w:cs="Arial"/>
          <w:position w:val="0"/>
          <w:sz w:val="18"/>
          <w:szCs w:val="18"/>
        </w:rPr>
        <w:t>ausmachen</w:t>
      </w:r>
      <w:proofErr w:type="spellEnd"/>
      <w:r w:rsidR="00495BDE">
        <w:rPr>
          <w:rFonts w:ascii="GT America Light" w:eastAsia="Times New Roman" w:hAnsi="GT America Light" w:cs="Arial"/>
          <w:position w:val="0"/>
          <w:sz w:val="18"/>
          <w:szCs w:val="18"/>
        </w:rPr>
        <w:t>.</w:t>
      </w:r>
    </w:p>
    <w:p w14:paraId="369AC508" w14:textId="77777777" w:rsidR="004F2E27" w:rsidRPr="004F2E27" w:rsidRDefault="004F2E27" w:rsidP="004F2E27">
      <w:pPr>
        <w:suppressAutoHyphens w:val="0"/>
        <w:spacing w:line="240" w:lineRule="auto"/>
        <w:ind w:leftChars="0" w:left="1985" w:right="264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Times New Roman"/>
          <w:position w:val="0"/>
          <w:sz w:val="21"/>
          <w:szCs w:val="21"/>
        </w:rPr>
      </w:pPr>
    </w:p>
    <w:p w14:paraId="34EE7758" w14:textId="77777777" w:rsidR="00ED5838" w:rsidRDefault="0034741C" w:rsidP="004F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6" w:left="1984" w:right="264" w:hanging="2"/>
        <w:jc w:val="center"/>
        <w:rPr>
          <w:rFonts w:ascii="GT America Light" w:eastAsia="GT America Light" w:hAnsi="GT America Light" w:cs="GT America Light"/>
          <w:color w:val="000000"/>
          <w:sz w:val="22"/>
          <w:szCs w:val="22"/>
        </w:rPr>
      </w:pPr>
      <w:r>
        <w:rPr>
          <w:rFonts w:ascii="GT America Light" w:eastAsia="GT America Light" w:hAnsi="GT America Light" w:cs="GT America Light"/>
          <w:color w:val="000000"/>
          <w:sz w:val="22"/>
          <w:szCs w:val="22"/>
        </w:rPr>
        <w:t>www.ﬁlasolutions.com</w:t>
      </w:r>
    </w:p>
    <w:p w14:paraId="3B653466" w14:textId="77777777" w:rsidR="00ED5838" w:rsidRDefault="00ED5838" w:rsidP="004F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6" w:left="1984" w:right="264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4980732" w14:textId="77777777" w:rsidR="00ED5838" w:rsidRDefault="00ED5838" w:rsidP="004F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6" w:left="1984" w:right="264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758D059" w14:textId="77777777" w:rsidR="00ED5838" w:rsidRDefault="00ED5838" w:rsidP="004F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6" w:left="1984" w:right="264" w:hanging="2"/>
        <w:jc w:val="center"/>
        <w:rPr>
          <w:rFonts w:ascii="GT America Light" w:eastAsia="GT America Light" w:hAnsi="GT America Light" w:cs="GT America Light"/>
          <w:color w:val="000000"/>
          <w:sz w:val="20"/>
          <w:szCs w:val="20"/>
        </w:rPr>
      </w:pPr>
    </w:p>
    <w:p w14:paraId="4F1D2C22" w14:textId="77777777" w:rsidR="004F2E27" w:rsidRDefault="004F2E27" w:rsidP="004F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6" w:left="1984" w:right="264" w:hanging="2"/>
        <w:jc w:val="center"/>
        <w:rPr>
          <w:rFonts w:ascii="GT America Light" w:eastAsia="GT America Light" w:hAnsi="GT America Light" w:cs="GT America Light"/>
          <w:color w:val="000000"/>
          <w:sz w:val="20"/>
          <w:szCs w:val="20"/>
        </w:rPr>
      </w:pPr>
    </w:p>
    <w:p w14:paraId="353DAF3D" w14:textId="33E56666" w:rsidR="00ED5838" w:rsidRDefault="00495BDE" w:rsidP="004F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6" w:left="1984" w:right="264" w:hanging="2"/>
        <w:rPr>
          <w:rFonts w:ascii="GT America Light" w:eastAsia="GT America Light" w:hAnsi="GT America Light" w:cs="GT America Light"/>
          <w:color w:val="000000"/>
          <w:sz w:val="20"/>
          <w:szCs w:val="20"/>
        </w:rPr>
      </w:pPr>
      <w:proofErr w:type="spellStart"/>
      <w:r>
        <w:rPr>
          <w:rFonts w:ascii="GT America Light" w:eastAsia="GT America Light" w:hAnsi="GT America Light" w:cs="GT America Light"/>
          <w:color w:val="000000"/>
          <w:sz w:val="20"/>
          <w:szCs w:val="20"/>
        </w:rPr>
        <w:t>Presseb</w:t>
      </w:r>
      <w:r w:rsidRPr="00495BDE">
        <w:rPr>
          <w:rFonts w:ascii="GT America Light" w:eastAsia="GT America Light" w:hAnsi="GT America Light" w:cs="GT America Light"/>
          <w:color w:val="000000"/>
          <w:sz w:val="20"/>
          <w:szCs w:val="20"/>
        </w:rPr>
        <w:t>üro</w:t>
      </w:r>
      <w:proofErr w:type="spellEnd"/>
      <w:r w:rsidR="0034741C">
        <w:rPr>
          <w:rFonts w:ascii="GT America Light" w:eastAsia="GT America Light" w:hAnsi="GT America Light" w:cs="GT America Light"/>
          <w:color w:val="000000"/>
          <w:sz w:val="20"/>
          <w:szCs w:val="20"/>
        </w:rPr>
        <w:t xml:space="preserve"> </w:t>
      </w:r>
      <w:r>
        <w:rPr>
          <w:rFonts w:ascii="GT America Light" w:eastAsia="GT America Light" w:hAnsi="GT America Light" w:cs="GT America Light"/>
          <w:color w:val="000000"/>
          <w:sz w:val="20"/>
          <w:szCs w:val="20"/>
        </w:rPr>
        <w:t>D-A-CH</w:t>
      </w:r>
    </w:p>
    <w:p w14:paraId="1A7886E3" w14:textId="5DF0990B" w:rsidR="00ED5838" w:rsidRDefault="00495BDE" w:rsidP="004F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6" w:left="1984" w:right="264" w:hanging="2"/>
        <w:rPr>
          <w:rFonts w:ascii="GT America Light" w:eastAsia="GT America Light" w:hAnsi="GT America Light" w:cs="GT America Light"/>
          <w:color w:val="000000"/>
          <w:sz w:val="20"/>
          <w:szCs w:val="20"/>
        </w:rPr>
      </w:pPr>
      <w:r>
        <w:rPr>
          <w:rFonts w:ascii="GT America Light" w:eastAsia="GT America Light" w:hAnsi="GT America Light" w:cs="GT America Light"/>
          <w:color w:val="000000"/>
          <w:sz w:val="20"/>
          <w:szCs w:val="20"/>
        </w:rPr>
        <w:t>Alexandra Becker</w:t>
      </w:r>
    </w:p>
    <w:p w14:paraId="1CDB7022" w14:textId="7F9B6818" w:rsidR="00ED5838" w:rsidRDefault="00495BDE" w:rsidP="004F2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826" w:left="1984" w:right="264" w:hanging="2"/>
        <w:rPr>
          <w:rFonts w:ascii="GT America Light" w:eastAsia="GT America Light" w:hAnsi="GT America Light" w:cs="GT America Light"/>
          <w:color w:val="000000"/>
          <w:sz w:val="20"/>
          <w:szCs w:val="20"/>
        </w:rPr>
      </w:pPr>
      <w:hyperlink r:id="rId11" w:history="1">
        <w:r w:rsidRPr="00160ADF">
          <w:rPr>
            <w:rStyle w:val="Collegamentoipertestuale"/>
            <w:rFonts w:ascii="GT America Light" w:eastAsia="GT America Light" w:hAnsi="GT America Light" w:cs="GT America Light"/>
            <w:sz w:val="20"/>
            <w:szCs w:val="20"/>
          </w:rPr>
          <w:t>alexandra.becker@filasolutions.com</w:t>
        </w:r>
      </w:hyperlink>
    </w:p>
    <w:p w14:paraId="29698EA3" w14:textId="77777777" w:rsidR="00ED5838" w:rsidRDefault="00ED5838" w:rsidP="004F2E27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</w:tabs>
        <w:spacing w:line="240" w:lineRule="auto"/>
        <w:ind w:leftChars="826" w:left="1984" w:right="264" w:hanging="2"/>
        <w:rPr>
          <w:rFonts w:ascii="GT America Medium" w:eastAsia="GT America Medium" w:hAnsi="GT America Medium" w:cs="GT America Medium"/>
          <w:color w:val="000000"/>
          <w:sz w:val="18"/>
          <w:szCs w:val="18"/>
        </w:rPr>
      </w:pPr>
    </w:p>
    <w:sectPr w:rsidR="00ED58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10" w:h="16840"/>
      <w:pgMar w:top="41" w:right="374" w:bottom="1786" w:left="357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8F01" w14:textId="77777777" w:rsidR="00D87720" w:rsidRDefault="00D87720">
      <w:pPr>
        <w:spacing w:line="240" w:lineRule="auto"/>
        <w:ind w:left="0" w:hanging="2"/>
      </w:pPr>
      <w:r>
        <w:separator/>
      </w:r>
    </w:p>
  </w:endnote>
  <w:endnote w:type="continuationSeparator" w:id="0">
    <w:p w14:paraId="57DC6D64" w14:textId="77777777" w:rsidR="00D87720" w:rsidRDefault="00D877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T America 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2656" w14:textId="77777777" w:rsidR="00ED5838" w:rsidRDefault="00ED5838">
    <w:pPr>
      <w:pBdr>
        <w:top w:val="nil"/>
        <w:left w:val="nil"/>
        <w:bottom w:val="nil"/>
        <w:right w:val="nil"/>
        <w:between w:val="nil"/>
      </w:pBdr>
      <w:spacing w:before="85" w:line="240" w:lineRule="auto"/>
      <w:rPr>
        <w:color w:val="231F2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9B9A" w14:textId="77777777" w:rsidR="00ED5838" w:rsidRDefault="00ED5838">
    <w:pPr>
      <w:pBdr>
        <w:top w:val="nil"/>
        <w:left w:val="nil"/>
        <w:bottom w:val="nil"/>
        <w:right w:val="nil"/>
        <w:between w:val="nil"/>
      </w:pBdr>
      <w:spacing w:before="85" w:line="240" w:lineRule="auto"/>
      <w:rPr>
        <w:color w:val="231F2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31B6" w14:textId="77777777" w:rsidR="00D87720" w:rsidRDefault="00D87720">
      <w:pPr>
        <w:spacing w:line="240" w:lineRule="auto"/>
        <w:ind w:left="0" w:hanging="2"/>
      </w:pPr>
      <w:r>
        <w:separator/>
      </w:r>
    </w:p>
  </w:footnote>
  <w:footnote w:type="continuationSeparator" w:id="0">
    <w:p w14:paraId="37DC1516" w14:textId="77777777" w:rsidR="00D87720" w:rsidRDefault="00D877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9554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B05E6F7" wp14:editId="3C7A5F48">
          <wp:simplePos x="0" y="0"/>
          <wp:positionH relativeFrom="column">
            <wp:posOffset>10160</wp:posOffset>
          </wp:positionH>
          <wp:positionV relativeFrom="paragraph">
            <wp:posOffset>2664460</wp:posOffset>
          </wp:positionV>
          <wp:extent cx="6932295" cy="718439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28434"/>
                  <a:stretch>
                    <a:fillRect/>
                  </a:stretch>
                </pic:blipFill>
                <pic:spPr>
                  <a:xfrm>
                    <a:off x="0" y="0"/>
                    <a:ext cx="6932295" cy="7184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6D8E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DA626EC" wp14:editId="2A2FF671">
          <wp:simplePos x="0" y="0"/>
          <wp:positionH relativeFrom="column">
            <wp:posOffset>65405</wp:posOffset>
          </wp:positionH>
          <wp:positionV relativeFrom="paragraph">
            <wp:posOffset>3150870</wp:posOffset>
          </wp:positionV>
          <wp:extent cx="6908800" cy="69215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800" cy="692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482B3" w14:textId="77777777" w:rsidR="00ED5838" w:rsidRDefault="0034741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D0E0434" wp14:editId="6DC3E660">
          <wp:simplePos x="0" y="0"/>
          <wp:positionH relativeFrom="column">
            <wp:posOffset>-273684</wp:posOffset>
          </wp:positionH>
          <wp:positionV relativeFrom="paragraph">
            <wp:posOffset>-375919</wp:posOffset>
          </wp:positionV>
          <wp:extent cx="7595870" cy="1073658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870" cy="1073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6A0"/>
    <w:multiLevelType w:val="multilevel"/>
    <w:tmpl w:val="B5B8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30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38"/>
    <w:rsid w:val="00021FCC"/>
    <w:rsid w:val="000809B1"/>
    <w:rsid w:val="00101A1A"/>
    <w:rsid w:val="00345E3D"/>
    <w:rsid w:val="0034741C"/>
    <w:rsid w:val="00373CFC"/>
    <w:rsid w:val="004018EE"/>
    <w:rsid w:val="00495BDE"/>
    <w:rsid w:val="004F2E27"/>
    <w:rsid w:val="00510065"/>
    <w:rsid w:val="0061256A"/>
    <w:rsid w:val="006B5DA0"/>
    <w:rsid w:val="00701E01"/>
    <w:rsid w:val="007435A7"/>
    <w:rsid w:val="007C3185"/>
    <w:rsid w:val="00865E69"/>
    <w:rsid w:val="00874983"/>
    <w:rsid w:val="00896EE0"/>
    <w:rsid w:val="008B5101"/>
    <w:rsid w:val="009729AD"/>
    <w:rsid w:val="00A72300"/>
    <w:rsid w:val="00A94E45"/>
    <w:rsid w:val="00AB326C"/>
    <w:rsid w:val="00C03A8E"/>
    <w:rsid w:val="00CC5871"/>
    <w:rsid w:val="00D11105"/>
    <w:rsid w:val="00D87720"/>
    <w:rsid w:val="00E61125"/>
    <w:rsid w:val="00E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1052"/>
  <w15:docId w15:val="{8F7C7789-C8BE-6143-9113-96E6F787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A1A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sz w:val="14"/>
      <w:szCs w:val="14"/>
    </w:rPr>
  </w:style>
  <w:style w:type="character" w:customStyle="1" w:styleId="CorpotestoCarattere">
    <w:name w:val="Corpo testo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Pr>
      <w:rFonts w:ascii="Times New Roman" w:hAnsi="Times New Roman"/>
    </w:rPr>
  </w:style>
  <w:style w:type="paragraph" w:customStyle="1" w:styleId="TableParagraph">
    <w:name w:val="Table Paragraph"/>
    <w:basedOn w:val="Normale"/>
    <w:rPr>
      <w:rFonts w:ascii="Times New Roman" w:hAnsi="Times New Roman"/>
    </w:r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Gotham Book" w:hAnsi="Gotham Book" w:cs="Gotham Book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1F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asolutions.com/deu/produkte/gesamte-palette/reinigungsmittel/reiniger/ps87-pro?linea=professiona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becker@filasolution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ilasolutions.com/deu/produkte/gesamte-palette/schutzmittel/farbvertiefer-mit-fleckenschutz/wet-stone-eco?linea=professio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asolutions.com/deu/produkte/gesamte-palette/schutzmittel/fleckenschutzmittel/mp90-eco-xtreme?linea=profession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PaJ9eMtes5uSM/9WLbCWGsW4A==">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Chellin</dc:creator>
  <cp:lastModifiedBy>Alexandra Becker</cp:lastModifiedBy>
  <cp:revision>3</cp:revision>
  <dcterms:created xsi:type="dcterms:W3CDTF">2025-04-16T08:04:00Z</dcterms:created>
  <dcterms:modified xsi:type="dcterms:W3CDTF">2025-04-16T08:11:00Z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